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/>
          <w:b/>
          <w:color w:val="DF0000"/>
          <w:sz w:val="26"/>
        </w:rPr>
        <w:t>ECOTERM AS</w:t>
      </w:r>
    </w:p>
    <w:p>
      <w:pPr>
        <w:spacing w:after="40"/>
      </w:pPr>
      <w:r>
        <w:rPr>
          <w:rFonts w:ascii="Calibri" w:hAnsi="Calibri"/>
          <w:b/>
          <w:color w:val="0A0E1F"/>
          <w:sz w:val="40"/>
        </w:rPr>
        <w:t>Исходные данные теплового узла</w:t>
      </w:r>
    </w:p>
    <w:p>
      <w:pPr>
        <w:spacing w:after="280"/>
      </w:pPr>
      <w:r>
        <w:rPr>
          <w:rFonts w:ascii="Calibri" w:hAnsi="Calibri"/>
          <w:b w:val="0"/>
          <w:color w:val="525A78"/>
          <w:sz w:val="20"/>
        </w:rPr>
        <w:t>Заполните те поля, которые можете — остальное уточним вместе. Отправьте файл на eco@ecoterm.ee или заполните ту же анкету на сайте.</w:t>
      </w:r>
    </w:p>
    <w:p>
      <w:pPr>
        <w:spacing w:after="80"/>
      </w:pPr>
      <w:r>
        <w:rPr>
          <w:rFonts w:ascii="Calibri" w:hAnsi="Calibri"/>
          <w:b/>
          <w:color w:val="0A0E1F"/>
          <w:sz w:val="26"/>
        </w:rPr>
        <w:t>Заказчик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Компания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Контактное лицо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Эл. почта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Телефон</w:t>
            </w:r>
          </w:p>
        </w:tc>
        <w:tc>
          <w:tcPr>
            <w:tcW w:type="dxa" w:w="5329"/>
          </w:tcPr>
          <w:p/>
        </w:tc>
      </w:tr>
      <w:tr>
        <w:tc>
          <w:tcPr>
            <w:tcW w:type="dxa" w:w="4082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0A0E1F"/>
                <w:sz w:val="20"/>
              </w:rPr>
              <w:t>Объект / адрес</w:t>
            </w:r>
          </w:p>
        </w:tc>
        <w:tc>
          <w:tcPr>
            <w:tcW w:type="dxa" w:w="5329"/>
          </w:tcPr>
          <w:p/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Горячее водоснабжение (ГВС)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Показатель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Значение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Ед. изм.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Максимальная расчётная тепловая нагрузка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кВт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Температура холодной воды летом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Требуемая температура горячей воды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Давление холодной воды на входе в здание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бар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Гидравлическое сопротивление наиболее неблагоприятного контура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кПа</w:t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Отопление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Показатель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Значение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Ед. изм.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Максимальная расчётная тепловая нагрузка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кВт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Температура теплоносителя на подаче к радиаторам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Температура теплоносителя на обратной линии от радиаторов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Гидравлическое сопротивление наиболее неблагоприятного контура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кПа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Объём системы отопления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л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Статическая высота системы отопления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м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Давление срабатывания предохранительного клапана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бар</w:t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Вентиляция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Показатель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Значение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Ед. изм.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Максимальная расчётная тепловая нагрузка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кВт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Температура теплоносителя на подаче в вентиляционные агрегаты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Температура теплоносителя на обратной линии от вентиляционных агрегатов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Гидравлическое сопротивление наиболее неблагоприятного контура вентиляции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кПа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Объём теплоносителя в контуре теплоснабжения вентиляции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л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Статическая высота контура теплоснабжения вентиляции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м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Давление срабатывания предохранительного клапана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бар</w:t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Параметры тепловой сети (технические условия)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Показатель</w:t>
            </w:r>
          </w:p>
        </w:tc>
        <w:tc>
          <w:tcPr>
            <w:tcW w:type="dxa" w:w="2494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Значение</w:t>
            </w:r>
          </w:p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/>
                <w:color w:val="525A78"/>
                <w:sz w:val="19"/>
              </w:rPr>
              <w:t>Ед. изм.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Температура теплоносителя в подающем трубопроводе тепловой сети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Температура теплоносителя в обратном трубопроводе тепловой сети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Минимальная летняя температура подачи теплоносителя из тепловой сети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Максимальная летняя температура теплоносителя, возвращаемого в тепловую сеть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°C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Давление в подающем трубопроводе тепловой сети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бар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Давление в обратном трубопроводе тепловой сети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бар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Гарантированный минимальный перепад давления у потребителя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  <w:t>бар</w:t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5. Напряжение электропитания для теплового узла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6. Предпочтительный производитель регулирующей автоматики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</w:r>
          </w:p>
        </w:tc>
      </w:tr>
      <w:tr>
        <w:tc>
          <w:tcPr>
            <w:tcW w:type="dxa" w:w="5669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0A0E1F"/>
                <w:sz w:val="20"/>
              </w:rPr>
              <w:t>7. Предпочтительный производитель насосов</w:t>
            </w:r>
          </w:p>
        </w:tc>
        <w:tc>
          <w:tcPr>
            <w:tcW w:type="dxa" w:w="2494"/>
          </w:tcPr>
          <w:p/>
        </w:tc>
        <w:tc>
          <w:tcPr>
            <w:tcW w:type="dxa" w:w="1247"/>
          </w:tcPr>
          <w:p>
            <w:pPr>
              <w:spacing w:after="80"/>
            </w:pPr>
            <w:r>
              <w:rPr>
                <w:rFonts w:ascii="Calibri" w:hAnsi="Calibri"/>
                <w:b w:val="0"/>
                <w:color w:val="525A78"/>
                <w:sz w:val="20"/>
              </w:rPr>
            </w:r>
          </w:p>
        </w:tc>
      </w:tr>
    </w:tbl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Дополнительное оборудование</w:t>
      </w:r>
    </w:p>
    <w:p>
      <w:pPr>
        <w:spacing w:after="60"/>
      </w:pPr>
      <w:r>
        <w:rPr>
          <w:rFonts w:ascii="Calibri" w:hAnsi="Calibri"/>
          <w:b w:val="0"/>
          <w:color w:val="525A78"/>
          <w:sz w:val="19"/>
        </w:rPr>
        <w:t>Отметьте нужное: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Расширительный бак для системы отопления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0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Расширительный бак для системы вентиляции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Шаровые краны на вводе тепловой сети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Сетчатый фильтр (грязевик) на вводе тепловой сети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Регулятор дифференциального давления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Счётчик тепловой энергии</w:t>
      </w:r>
    </w:p>
    <w:p>
      <w:pPr>
        <w:spacing w:after="60"/>
        <w:ind w:left="227"/>
      </w:pPr>
      <w:sdt>
        <w:sdtPr>
          <w:rPr>
            <w:rFonts w:ascii="MS Gothic" w:eastAsia="MS Gothic" w:hAnsi="MS Gothic"/>
          </w:rPr>
          <w:id w:val="9001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/>
              <w:sz w:val="21"/>
            </w:rPr>
            <w:t>☐</w:t>
          </w:r>
        </w:sdtContent>
      </w:sdt>
      <w:r>
        <w:rPr>
          <w:rFonts w:ascii="Calibri" w:hAnsi="Calibri"/>
          <w:b w:val="0"/>
          <w:color w:val="0A0E1F"/>
          <w:sz w:val="20"/>
        </w:rPr>
        <w:t xml:space="preserve">  Счётчик холодной воды</w:t>
      </w:r>
    </w:p>
    <w:p/>
    <w:p>
      <w:pPr>
        <w:spacing w:after="80"/>
      </w:pPr>
      <w:r>
        <w:rPr>
          <w:rFonts w:ascii="Calibri" w:hAnsi="Calibri"/>
          <w:b/>
          <w:color w:val="0A0E1F"/>
          <w:sz w:val="26"/>
        </w:rPr>
        <w:t>Комментарии</w:t>
      </w:r>
    </w:p>
    <w:p>
      <w:pPr>
        <w:spacing w:after="80"/>
      </w:pPr>
      <w:r>
        <w:rPr>
          <w:rFonts w:ascii="Calibri" w:hAnsi="Calibri"/>
          <w:b w:val="0"/>
          <w:color w:val="525A78"/>
          <w:sz w:val="19"/>
        </w:rPr>
        <w:t>Дополнительная информация, особые условия, вопросы:</w:t>
      </w:r>
    </w:p>
    <w:tbl>
      <w:tblPr>
        <w:tblStyle w:val="TableGrid"/>
        <w:tblW w:type="auto" w:w="0"/>
        <w:jc w:val="left"/>
        <w:tblLook w:firstColumn="1" w:firstRow="1" w:lastColumn="0" w:lastRow="0" w:noHBand="0" w:noVBand="1" w:val="04A0"/>
      </w:tblPr>
      <w:tblGrid>
        <w:gridCol w:w="9746"/>
      </w:tblGrid>
      <w:tr>
        <w:trPr>
          <w:trHeight w:val="1928"/>
          <w:trHeight w:val="1927" w:hRule="atLeast"/>
        </w:trPr>
        <w:tc>
          <w:tcPr>
            <w:tcW w:type="dxa" w:w="9411"/>
          </w:tcPr>
          <w:p/>
        </w:tc>
      </w:tr>
    </w:tbl>
    <w:p/>
    <w:p>
      <w:pPr>
        <w:spacing w:after="80"/>
        <w:jc w:val="left"/>
      </w:pPr>
      <w:r>
        <w:rPr>
          <w:rFonts w:ascii="Calibri" w:hAnsi="Calibri"/>
          <w:b w:val="0"/>
          <w:color w:val="525A78"/>
          <w:sz w:val="18"/>
        </w:rPr>
        <w:t>Ecoterm AS · Ujula 4c, 75101 Kose, Harjumaa · +372 6 756 332 · eco@ecoterm.ee</w:t>
      </w:r>
    </w:p>
    <w:sectPr w:rsidR="00FC693F" w:rsidRPr="0006063C" w:rsidSect="00034616">
      <w:pgSz w:w="12240" w:h="15840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